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gmar One" w:cs="Sigmar One" w:eastAsia="Sigmar One" w:hAnsi="Sigmar One"/>
          <w:sz w:val="28"/>
          <w:szCs w:val="28"/>
          <w:rtl w:val="0"/>
        </w:rPr>
        <w:t xml:space="preserve">Level 1 - Semicolons and conjunctive adverbs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Directions: Given the foundation sentence,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rewrite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to reflect the given verb tense.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Foundation Sentence: The teacher [teach] ,and she [grade] papers.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Past Tense: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Bitter" w:cs="Bitter" w:eastAsia="Bitter" w:hAnsi="Bitter"/>
          <w:rtl w:val="0"/>
        </w:rPr>
        <w:br w:type="textWrapping"/>
        <w:t xml:space="preserve">Present Tense: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Future Tense: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Past Progressive Tense: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Bitter" w:cs="Bitter" w:eastAsia="Bitter" w:hAnsi="Bitter"/>
          <w:rtl w:val="0"/>
        </w:rPr>
        <w:br w:type="textWrapping"/>
        <w:t xml:space="preserve">Present Progressive Tense: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Future Progressive Tense: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Past Perfect Tense: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Bitter" w:cs="Bitter" w:eastAsia="Bitter" w:hAnsi="Bitter"/>
          <w:rtl w:val="0"/>
        </w:rPr>
        <w:br w:type="textWrapping"/>
        <w:t xml:space="preserve">Present Perfect Tense: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Future Perfect Tense: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Past Perfect Progressive Tense: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igmar One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SigmarOne-regular.ttf"/></Relationships>
</file>